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433193" w:rsidRDefault="00110A4A" w:rsidP="009F795F">
      <w:pPr>
        <w:jc w:val="center"/>
        <w:rPr>
          <w:b/>
          <w:sz w:val="24"/>
          <w:szCs w:val="24"/>
        </w:rPr>
      </w:pPr>
      <w:r w:rsidRPr="00433193">
        <w:rPr>
          <w:b/>
          <w:sz w:val="24"/>
          <w:szCs w:val="24"/>
        </w:rPr>
        <w:t>П</w:t>
      </w:r>
      <w:r w:rsidR="009F795F" w:rsidRPr="00433193">
        <w:rPr>
          <w:b/>
          <w:sz w:val="24"/>
          <w:szCs w:val="24"/>
        </w:rPr>
        <w:t>ояснительн</w:t>
      </w:r>
      <w:r w:rsidRPr="00433193">
        <w:rPr>
          <w:b/>
          <w:sz w:val="24"/>
          <w:szCs w:val="24"/>
        </w:rPr>
        <w:t>ая</w:t>
      </w:r>
      <w:r w:rsidR="009F795F" w:rsidRPr="00433193">
        <w:rPr>
          <w:b/>
          <w:sz w:val="24"/>
          <w:szCs w:val="24"/>
        </w:rPr>
        <w:t xml:space="preserve"> записки </w:t>
      </w:r>
    </w:p>
    <w:p w:rsidR="00433193" w:rsidRPr="00433193" w:rsidRDefault="00433193" w:rsidP="00433193">
      <w:pPr>
        <w:jc w:val="center"/>
        <w:rPr>
          <w:sz w:val="24"/>
          <w:szCs w:val="24"/>
        </w:rPr>
      </w:pPr>
      <w:r w:rsidRPr="00433193">
        <w:rPr>
          <w:sz w:val="24"/>
          <w:szCs w:val="24"/>
        </w:rPr>
        <w:t xml:space="preserve">к проекту постановления администрации района «Об утверждении муниципальной программы «Развитие жилищного строительства и жилищно-коммунального комплекса </w:t>
      </w:r>
      <w:proofErr w:type="spellStart"/>
      <w:r w:rsidRPr="00433193">
        <w:rPr>
          <w:sz w:val="24"/>
          <w:szCs w:val="24"/>
        </w:rPr>
        <w:t>Нижневартовского</w:t>
      </w:r>
      <w:proofErr w:type="spellEnd"/>
      <w:r w:rsidRPr="00433193">
        <w:rPr>
          <w:sz w:val="24"/>
          <w:szCs w:val="24"/>
        </w:rPr>
        <w:t xml:space="preserve"> района»</w:t>
      </w:r>
    </w:p>
    <w:p w:rsidR="009F795F" w:rsidRPr="00433193" w:rsidRDefault="009F795F" w:rsidP="009F795F">
      <w:pPr>
        <w:autoSpaceDE w:val="0"/>
        <w:autoSpaceDN w:val="0"/>
        <w:ind w:firstLine="708"/>
        <w:jc w:val="both"/>
        <w:rPr>
          <w:sz w:val="24"/>
          <w:szCs w:val="24"/>
        </w:rPr>
      </w:pPr>
    </w:p>
    <w:p w:rsidR="009F795F" w:rsidRPr="00433193" w:rsidRDefault="009F795F" w:rsidP="0065587C">
      <w:pPr>
        <w:autoSpaceDE w:val="0"/>
        <w:autoSpaceDN w:val="0"/>
        <w:adjustRightInd w:val="0"/>
        <w:ind w:firstLine="708"/>
        <w:jc w:val="both"/>
        <w:rPr>
          <w:rFonts w:eastAsia="Calibri"/>
          <w:sz w:val="24"/>
          <w:szCs w:val="24"/>
          <w:lang w:eastAsia="en-US"/>
        </w:rPr>
      </w:pPr>
      <w:r w:rsidRPr="00110A4A">
        <w:rPr>
          <w:sz w:val="24"/>
          <w:szCs w:val="24"/>
        </w:rPr>
        <w:t xml:space="preserve">Настоящий проект разработан в соответствии </w:t>
      </w:r>
      <w:r w:rsidR="00433193" w:rsidRPr="00433193">
        <w:rPr>
          <w:rFonts w:eastAsiaTheme="minorHAnsi"/>
          <w:sz w:val="24"/>
          <w:szCs w:val="24"/>
          <w:lang w:eastAsia="en-US"/>
        </w:rPr>
        <w:t xml:space="preserve">со статьей 179 Бюджетного кодекса Российской Федерации, постановлением администрации района от 17.09.2021 № 1663                        </w:t>
      </w:r>
      <w:proofErr w:type="gramStart"/>
      <w:r w:rsidR="00433193" w:rsidRPr="00433193">
        <w:rPr>
          <w:rFonts w:eastAsiaTheme="minorHAnsi"/>
          <w:sz w:val="24"/>
          <w:szCs w:val="24"/>
          <w:lang w:eastAsia="en-US"/>
        </w:rPr>
        <w:t xml:space="preserve">   «</w:t>
      </w:r>
      <w:proofErr w:type="gramEnd"/>
      <w:r w:rsidR="00433193" w:rsidRPr="00433193">
        <w:rPr>
          <w:rFonts w:eastAsiaTheme="minorHAnsi"/>
          <w:sz w:val="24"/>
          <w:szCs w:val="24"/>
          <w:lang w:eastAsia="en-US"/>
        </w:rPr>
        <w:t xml:space="preserve">О Порядке разработки и реализации муниципальных программ </w:t>
      </w:r>
      <w:proofErr w:type="spellStart"/>
      <w:r w:rsidR="00433193" w:rsidRPr="00433193">
        <w:rPr>
          <w:rFonts w:eastAsiaTheme="minorHAnsi"/>
          <w:sz w:val="24"/>
          <w:szCs w:val="24"/>
          <w:lang w:eastAsia="en-US"/>
        </w:rPr>
        <w:t>Нижневартовского</w:t>
      </w:r>
      <w:proofErr w:type="spellEnd"/>
      <w:r w:rsidR="00433193" w:rsidRPr="00433193">
        <w:rPr>
          <w:rFonts w:eastAsiaTheme="minorHAnsi"/>
          <w:sz w:val="24"/>
          <w:szCs w:val="24"/>
          <w:lang w:eastAsia="en-US"/>
        </w:rPr>
        <w:t xml:space="preserve"> района»</w:t>
      </w:r>
    </w:p>
    <w:p w:rsidR="00433193" w:rsidRPr="009F795F" w:rsidRDefault="00433193" w:rsidP="0065587C">
      <w:pPr>
        <w:autoSpaceDE w:val="0"/>
        <w:autoSpaceDN w:val="0"/>
        <w:adjustRightInd w:val="0"/>
        <w:ind w:firstLine="708"/>
        <w:jc w:val="both"/>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110A4A" w:rsidRDefault="00110A4A" w:rsidP="009F795F">
      <w:pPr>
        <w:widowControl w:val="0"/>
        <w:autoSpaceDE w:val="0"/>
        <w:autoSpaceDN w:val="0"/>
        <w:adjustRightInd w:val="0"/>
        <w:ind w:firstLine="709"/>
        <w:jc w:val="both"/>
        <w:rPr>
          <w:sz w:val="24"/>
          <w:szCs w:val="24"/>
        </w:rPr>
      </w:pPr>
    </w:p>
    <w:p w:rsidR="00EF466B" w:rsidRPr="009F795F" w:rsidRDefault="00EF466B" w:rsidP="0065587C">
      <w:pPr>
        <w:widowControl w:val="0"/>
        <w:autoSpaceDE w:val="0"/>
        <w:autoSpaceDN w:val="0"/>
        <w:adjustRightInd w:val="0"/>
        <w:ind w:firstLine="709"/>
        <w:jc w:val="both"/>
        <w:rPr>
          <w:sz w:val="24"/>
          <w:szCs w:val="24"/>
        </w:rPr>
      </w:pPr>
      <w:r w:rsidRPr="00F80643">
        <w:rPr>
          <w:sz w:val="24"/>
          <w:szCs w:val="24"/>
        </w:rPr>
        <w:t xml:space="preserve">Необходимость утверждение нормативного правового акта в соответствии </w:t>
      </w:r>
      <w:r w:rsidRPr="00F80643">
        <w:rPr>
          <w:rFonts w:eastAsiaTheme="minorHAnsi"/>
          <w:sz w:val="24"/>
          <w:szCs w:val="24"/>
          <w:lang w:eastAsia="en-US"/>
        </w:rPr>
        <w:t xml:space="preserve">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w:t>
      </w:r>
      <w:proofErr w:type="spellStart"/>
      <w:r w:rsidRPr="00F80643">
        <w:rPr>
          <w:rFonts w:eastAsiaTheme="minorHAnsi"/>
          <w:sz w:val="24"/>
          <w:szCs w:val="24"/>
          <w:lang w:eastAsia="en-US"/>
        </w:rPr>
        <w:t>Нижневартовского</w:t>
      </w:r>
      <w:proofErr w:type="spellEnd"/>
      <w:r w:rsidRPr="00F80643">
        <w:rPr>
          <w:rFonts w:eastAsiaTheme="minorHAnsi"/>
          <w:sz w:val="24"/>
          <w:szCs w:val="24"/>
          <w:lang w:eastAsia="en-US"/>
        </w:rPr>
        <w:t xml:space="preserve"> района».</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9F795F" w:rsidRPr="00EB24DE" w:rsidRDefault="00110A4A" w:rsidP="009F795F">
      <w:pPr>
        <w:widowControl w:val="0"/>
        <w:autoSpaceDE w:val="0"/>
        <w:autoSpaceDN w:val="0"/>
        <w:adjustRightInd w:val="0"/>
        <w:ind w:firstLine="709"/>
        <w:jc w:val="both"/>
        <w:rPr>
          <w:sz w:val="24"/>
          <w:szCs w:val="24"/>
        </w:rPr>
      </w:pPr>
      <w:r w:rsidRPr="00110A4A">
        <w:rPr>
          <w:sz w:val="24"/>
          <w:szCs w:val="24"/>
        </w:rPr>
        <w:t>Юридические лица, индивидуальные предприниматели, негосударственные организации, в том числе социально ориентированные некоммерческие и общественные организации, муниципальные учреждения</w:t>
      </w:r>
      <w:r w:rsidR="004904CD">
        <w:rPr>
          <w:sz w:val="24"/>
          <w:szCs w:val="24"/>
        </w:rPr>
        <w:t>,</w:t>
      </w:r>
      <w:r w:rsidRPr="00110A4A">
        <w:rPr>
          <w:sz w:val="24"/>
          <w:szCs w:val="24"/>
        </w:rPr>
        <w:t xml:space="preserve"> осуществляющие деятельность в сфере</w:t>
      </w:r>
      <w:r w:rsidR="004904CD">
        <w:rPr>
          <w:sz w:val="24"/>
          <w:szCs w:val="24"/>
        </w:rPr>
        <w:t xml:space="preserve"> энергетики и</w:t>
      </w:r>
      <w:r w:rsidRPr="00110A4A">
        <w:rPr>
          <w:sz w:val="24"/>
          <w:szCs w:val="24"/>
        </w:rPr>
        <w:t xml:space="preserve"> </w:t>
      </w:r>
      <w:r w:rsidR="004904CD">
        <w:rPr>
          <w:sz w:val="24"/>
          <w:szCs w:val="24"/>
        </w:rPr>
        <w:t>жилищно-коммунального хозяйства района</w:t>
      </w:r>
    </w:p>
    <w:p w:rsidR="009F795F" w:rsidRPr="00EB24DE" w:rsidRDefault="009F795F" w:rsidP="009F795F">
      <w:pPr>
        <w:pBdr>
          <w:top w:val="single" w:sz="4" w:space="1" w:color="auto"/>
        </w:pBdr>
        <w:autoSpaceDE w:val="0"/>
        <w:autoSpaceDN w:val="0"/>
        <w:spacing w:after="240"/>
        <w:jc w:val="center"/>
        <w:rPr>
          <w:sz w:val="20"/>
          <w:szCs w:val="20"/>
        </w:rPr>
      </w:pPr>
      <w:r w:rsidRPr="00EB24DE">
        <w:rPr>
          <w:sz w:val="20"/>
          <w:szCs w:val="20"/>
        </w:rPr>
        <w:t>(место для текстового описания)</w:t>
      </w:r>
    </w:p>
    <w:p w:rsidR="009F795F" w:rsidRPr="00EB24DE" w:rsidRDefault="009F795F" w:rsidP="009F795F">
      <w:pPr>
        <w:widowControl w:val="0"/>
        <w:autoSpaceDE w:val="0"/>
        <w:autoSpaceDN w:val="0"/>
        <w:adjustRightInd w:val="0"/>
        <w:ind w:firstLine="709"/>
        <w:jc w:val="both"/>
        <w:rPr>
          <w:sz w:val="24"/>
          <w:szCs w:val="24"/>
        </w:rPr>
      </w:pPr>
    </w:p>
    <w:p w:rsidR="009F795F" w:rsidRPr="00EB24DE" w:rsidRDefault="009F795F" w:rsidP="009F795F">
      <w:pPr>
        <w:widowControl w:val="0"/>
        <w:autoSpaceDE w:val="0"/>
        <w:autoSpaceDN w:val="0"/>
        <w:adjustRightInd w:val="0"/>
        <w:ind w:firstLine="709"/>
        <w:jc w:val="both"/>
        <w:rPr>
          <w:bCs/>
          <w:sz w:val="24"/>
          <w:szCs w:val="24"/>
        </w:rPr>
      </w:pPr>
      <w:r w:rsidRPr="00EB24DE">
        <w:rPr>
          <w:sz w:val="24"/>
          <w:szCs w:val="24"/>
        </w:rPr>
        <w:t> Описание обязанностей, запретов и ограничений, которые предполагается возложить (ввести) на (для) субъекты (</w:t>
      </w:r>
      <w:proofErr w:type="spellStart"/>
      <w:r w:rsidRPr="00EB24DE">
        <w:rPr>
          <w:sz w:val="24"/>
          <w:szCs w:val="24"/>
        </w:rPr>
        <w:t>ов</w:t>
      </w:r>
      <w:proofErr w:type="spellEnd"/>
      <w:r w:rsidRPr="00EB24DE">
        <w:rPr>
          <w:sz w:val="24"/>
          <w:szCs w:val="24"/>
        </w:rPr>
        <w:t xml:space="preserve">)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2344CD" w:rsidRPr="002344CD" w:rsidRDefault="002344CD" w:rsidP="00E64272">
      <w:pPr>
        <w:ind w:firstLine="708"/>
        <w:rPr>
          <w:rFonts w:eastAsia="Calibri"/>
          <w:sz w:val="22"/>
          <w:szCs w:val="22"/>
          <w:lang w:eastAsia="en-US"/>
        </w:rPr>
      </w:pPr>
      <w:r w:rsidRPr="002344CD">
        <w:rPr>
          <w:rFonts w:eastAsia="Calibri"/>
          <w:sz w:val="22"/>
          <w:szCs w:val="22"/>
          <w:lang w:eastAsia="en-US"/>
        </w:rPr>
        <w:t>Подача заявления и пакета документов для получе</w:t>
      </w:r>
      <w:r w:rsidR="004D1AF3" w:rsidRPr="004D1AF3">
        <w:rPr>
          <w:rFonts w:eastAsia="Calibri"/>
          <w:sz w:val="22"/>
          <w:szCs w:val="22"/>
          <w:lang w:eastAsia="en-US"/>
        </w:rPr>
        <w:t>ния субсидии в соответствии с пунктами 2.1, 2.2, П</w:t>
      </w:r>
      <w:r w:rsidR="000B11C2">
        <w:rPr>
          <w:rFonts w:eastAsia="Calibri"/>
          <w:sz w:val="22"/>
          <w:szCs w:val="22"/>
          <w:lang w:eastAsia="en-US"/>
        </w:rPr>
        <w:t>риложений 3 -7 к постановлению админис</w:t>
      </w:r>
      <w:bookmarkStart w:id="0" w:name="_GoBack"/>
      <w:bookmarkEnd w:id="0"/>
      <w:r w:rsidR="000B11C2">
        <w:rPr>
          <w:rFonts w:eastAsia="Calibri"/>
          <w:sz w:val="22"/>
          <w:szCs w:val="22"/>
          <w:lang w:eastAsia="en-US"/>
        </w:rPr>
        <w:t>трации района</w:t>
      </w:r>
      <w:r w:rsidR="004F4327">
        <w:rPr>
          <w:rFonts w:eastAsia="Calibri"/>
          <w:sz w:val="22"/>
          <w:szCs w:val="22"/>
          <w:lang w:eastAsia="en-US"/>
        </w:rPr>
        <w:t>.</w:t>
      </w:r>
      <w:r w:rsidR="004D1AF3" w:rsidRPr="004D1AF3">
        <w:rPr>
          <w:rFonts w:eastAsia="Calibri"/>
          <w:sz w:val="22"/>
          <w:szCs w:val="22"/>
          <w:lang w:eastAsia="en-US"/>
        </w:rPr>
        <w:t xml:space="preserve"> </w:t>
      </w:r>
    </w:p>
    <w:p w:rsidR="009F795F" w:rsidRPr="00EB24DE" w:rsidRDefault="002344CD" w:rsidP="002344CD">
      <w:pPr>
        <w:pBdr>
          <w:top w:val="single" w:sz="4" w:space="1" w:color="auto"/>
        </w:pBdr>
        <w:autoSpaceDE w:val="0"/>
        <w:autoSpaceDN w:val="0"/>
        <w:jc w:val="center"/>
        <w:rPr>
          <w:sz w:val="20"/>
          <w:szCs w:val="20"/>
        </w:rPr>
      </w:pPr>
      <w:r w:rsidRPr="00EB24DE">
        <w:rPr>
          <w:sz w:val="20"/>
          <w:szCs w:val="20"/>
        </w:rPr>
        <w:t xml:space="preserve"> </w:t>
      </w:r>
      <w:r w:rsidR="009F795F" w:rsidRPr="00EB24DE">
        <w:rPr>
          <w:sz w:val="20"/>
          <w:szCs w:val="20"/>
        </w:rPr>
        <w:t>(место для текстового описания)</w:t>
      </w:r>
    </w:p>
    <w:p w:rsidR="009F795F" w:rsidRPr="00EB24DE" w:rsidRDefault="009F795F" w:rsidP="009F795F">
      <w:pPr>
        <w:pBdr>
          <w:top w:val="single" w:sz="4" w:space="1" w:color="auto"/>
        </w:pBdr>
        <w:autoSpaceDE w:val="0"/>
        <w:autoSpaceDN w:val="0"/>
        <w:jc w:val="both"/>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p>
    <w:p w:rsidR="004904CD" w:rsidRPr="00E7263F" w:rsidRDefault="004904CD" w:rsidP="004904CD">
      <w:pPr>
        <w:widowControl w:val="0"/>
        <w:autoSpaceDE w:val="0"/>
        <w:autoSpaceDN w:val="0"/>
        <w:adjustRightInd w:val="0"/>
        <w:jc w:val="center"/>
        <w:rPr>
          <w:sz w:val="24"/>
          <w:szCs w:val="24"/>
        </w:rPr>
      </w:pPr>
      <w:r w:rsidRPr="00E7263F">
        <w:rPr>
          <w:sz w:val="24"/>
          <w:szCs w:val="24"/>
        </w:rPr>
        <w:t>11,01 тыс. руб.</w:t>
      </w:r>
    </w:p>
    <w:p w:rsidR="009F795F" w:rsidRPr="009F795F" w:rsidRDefault="004904CD" w:rsidP="004904CD">
      <w:pPr>
        <w:pBdr>
          <w:top w:val="single" w:sz="4" w:space="1" w:color="auto"/>
        </w:pBdr>
        <w:autoSpaceDE w:val="0"/>
        <w:autoSpaceDN w:val="0"/>
        <w:jc w:val="center"/>
        <w:rPr>
          <w:i/>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p>
    <w:p w:rsidR="00110A4A" w:rsidRPr="00EB24DE" w:rsidRDefault="00110A4A" w:rsidP="00110A4A">
      <w:pPr>
        <w:autoSpaceDE w:val="0"/>
        <w:autoSpaceDN w:val="0"/>
        <w:jc w:val="center"/>
        <w:rPr>
          <w:sz w:val="24"/>
          <w:szCs w:val="24"/>
        </w:rPr>
      </w:pPr>
      <w:r>
        <w:rPr>
          <w:sz w:val="24"/>
          <w:szCs w:val="24"/>
        </w:rPr>
        <w:t>Отсутствуют</w:t>
      </w:r>
    </w:p>
    <w:p w:rsidR="009F795F" w:rsidRPr="009F795F" w:rsidRDefault="00110A4A" w:rsidP="009F795F">
      <w:pPr>
        <w:pBdr>
          <w:top w:val="single" w:sz="4" w:space="1" w:color="auto"/>
        </w:pBdr>
        <w:autoSpaceDE w:val="0"/>
        <w:autoSpaceDN w:val="0"/>
        <w:jc w:val="center"/>
        <w:rPr>
          <w:i/>
          <w:sz w:val="24"/>
          <w:szCs w:val="24"/>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rPr>
          <w:rFonts w:ascii="Calibri" w:eastAsia="Calibri" w:hAnsi="Calibri"/>
          <w:sz w:val="22"/>
          <w:szCs w:val="22"/>
          <w:lang w:eastAsia="en-US"/>
        </w:rPr>
      </w:pPr>
    </w:p>
    <w:sectPr w:rsidR="009F795F" w:rsidRPr="009F795F" w:rsidSect="0065587C">
      <w:headerReference w:type="default" r:id="rId8"/>
      <w:pgSz w:w="11907" w:h="16840" w:code="9"/>
      <w:pgMar w:top="426"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A0" w:rsidRDefault="008E4DA0">
      <w:r>
        <w:separator/>
      </w:r>
    </w:p>
  </w:endnote>
  <w:endnote w:type="continuationSeparator" w:id="0">
    <w:p w:rsidR="008E4DA0" w:rsidRDefault="008E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A0" w:rsidRDefault="008E4DA0">
      <w:r>
        <w:separator/>
      </w:r>
    </w:p>
  </w:footnote>
  <w:footnote w:type="continuationSeparator" w:id="0">
    <w:p w:rsidR="008E4DA0" w:rsidRDefault="008E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4F4327">
          <w:rPr>
            <w:noProof/>
          </w:rPr>
          <w:t>1</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10318F"/>
    <w:multiLevelType w:val="singleLevel"/>
    <w:tmpl w:val="0419000F"/>
    <w:lvl w:ilvl="0">
      <w:start w:val="1"/>
      <w:numFmt w:val="decimal"/>
      <w:lvlText w:val="%1."/>
      <w:lvlJc w:val="left"/>
      <w:pPr>
        <w:tabs>
          <w:tab w:val="num" w:pos="360"/>
        </w:tabs>
        <w:ind w:left="360" w:hanging="360"/>
      </w:pPr>
    </w:lvl>
  </w:abstractNum>
  <w:abstractNum w:abstractNumId="15">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1C2"/>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2E"/>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0A4A"/>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D7CF1"/>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4CD"/>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43B8"/>
    <w:rsid w:val="0042656E"/>
    <w:rsid w:val="004277B2"/>
    <w:rsid w:val="00427AE7"/>
    <w:rsid w:val="00433193"/>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4CD"/>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1AF3"/>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4327"/>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5587C"/>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D1F90"/>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4DA0"/>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8B5"/>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4272"/>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466B"/>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949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EFD9-E904-407B-B2D7-291AEF32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12</cp:revision>
  <cp:lastPrinted>2020-07-08T09:37:00Z</cp:lastPrinted>
  <dcterms:created xsi:type="dcterms:W3CDTF">2022-06-03T11:03:00Z</dcterms:created>
  <dcterms:modified xsi:type="dcterms:W3CDTF">2023-11-09T06:13:00Z</dcterms:modified>
</cp:coreProperties>
</file>